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85" w:rsidRDefault="00546285" w:rsidP="009557E1">
      <w:pPr>
        <w:spacing w:after="0" w:line="240" w:lineRule="auto"/>
        <w:jc w:val="center"/>
        <w:textAlignment w:val="baseline"/>
        <w:outlineLvl w:val="0"/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2D2123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Про</w:t>
      </w:r>
      <w:r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Pr="002D2123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публічне</w:t>
      </w:r>
      <w:r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Pr="002D2123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громадське</w:t>
      </w:r>
      <w:r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Pr="002D2123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обговорення</w:t>
      </w:r>
      <w:r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proofErr w:type="spellStart"/>
      <w:r w:rsidRPr="002D2123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проєкту</w:t>
      </w:r>
      <w:proofErr w:type="spellEnd"/>
      <w:r w:rsidR="002D2123"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А</w:t>
      </w:r>
      <w:r w:rsidRPr="002D2123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нтикорупційної</w:t>
      </w:r>
      <w:r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Pr="002D2123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програми</w:t>
      </w:r>
      <w:r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="009557E1" w:rsidRPr="009557E1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Д</w:t>
      </w:r>
      <w:r w:rsidRPr="009557E1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ержавної</w:t>
      </w:r>
      <w:r w:rsidRPr="009557E1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Pr="009557E1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служби</w:t>
      </w:r>
      <w:r w:rsidRPr="009557E1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Pr="009557E1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фінансового</w:t>
      </w:r>
      <w:r w:rsidRPr="009557E1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Pr="009557E1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моніторингу</w:t>
      </w:r>
      <w:r w:rsidRPr="009557E1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="009557E1" w:rsidRPr="009557E1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У</w:t>
      </w:r>
      <w:r w:rsidRPr="009557E1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країни</w:t>
      </w:r>
      <w:r w:rsidRPr="009557E1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</w:p>
    <w:p w:rsidR="009557E1" w:rsidRPr="002D2123" w:rsidRDefault="00546285" w:rsidP="009557E1">
      <w:pPr>
        <w:spacing w:after="0" w:line="240" w:lineRule="auto"/>
        <w:jc w:val="center"/>
        <w:textAlignment w:val="baseline"/>
        <w:outlineLvl w:val="0"/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2D2123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на</w:t>
      </w:r>
      <w:r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="002D2123"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>202</w:t>
      </w:r>
      <w:r w:rsidR="004D76C8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>6</w:t>
      </w:r>
      <w:r w:rsidR="002D2123"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>–202</w:t>
      </w:r>
      <w:r w:rsidR="004D76C8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>7</w:t>
      </w:r>
      <w:r w:rsidR="002D2123" w:rsidRPr="002D2123">
        <w:rPr>
          <w:rFonts w:ascii="ProbaPro-SemiBold" w:eastAsia="Times New Roman" w:hAnsi="ProbaPro-SemiBold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</w:t>
      </w:r>
      <w:r w:rsidRPr="002D2123">
        <w:rPr>
          <w:rFonts w:ascii="ProbaPro-SemiBold" w:eastAsia="Times New Roman" w:hAnsi="ProbaPro-SemiBold" w:cs="Times New Roman" w:hint="eastAsia"/>
          <w:b/>
          <w:bCs/>
          <w:color w:val="000000"/>
          <w:kern w:val="36"/>
          <w:sz w:val="28"/>
          <w:szCs w:val="28"/>
          <w:lang w:eastAsia="uk-UA"/>
        </w:rPr>
        <w:t>роки</w:t>
      </w:r>
    </w:p>
    <w:p w:rsidR="00BE3F7F" w:rsidRDefault="002D2123" w:rsidP="00BE3F7F">
      <w:pPr>
        <w:spacing w:after="0" w:line="405" w:lineRule="atLeast"/>
        <w:ind w:firstLine="851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Державна служба</w:t>
      </w:r>
      <w:r w:rsidR="00AE5E66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фінансового моніторингу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України (далі – </w:t>
      </w:r>
      <w:r w:rsidR="00AE5E66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Держфінмоніторинг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) повідомляє, що робочою групою з оцінювання корупційних ризиків у діяльності </w:t>
      </w:r>
      <w:r w:rsidR="001E157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Держфінмоніторингу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(далі – Робоча група) на виконання вимог наказу </w:t>
      </w:r>
      <w:r w:rsidR="001E157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Держфінмоніторингу від 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01</w:t>
      </w:r>
      <w:r w:rsidR="001E157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грудня</w:t>
      </w:r>
      <w:r w:rsidR="001E157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202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5 </w:t>
      </w:r>
      <w:r w:rsidR="001E157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р.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№ 1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10 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«Про проведення оцінювання корупційних ризиків у діяльності Державної служби </w:t>
      </w:r>
      <w:r w:rsidR="001E157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фінансового моніторингу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546285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України»</w:t>
      </w:r>
      <w:r w:rsidR="00DE0919" w:rsidRPr="00DE091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(</w:t>
      </w:r>
      <w:r w:rsidR="00DE091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із </w:t>
      </w:r>
      <w:r w:rsidR="00DE0919" w:rsidRPr="00DE091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зм</w:t>
      </w:r>
      <w:r w:rsidR="00DE091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інами</w:t>
      </w:r>
      <w:r w:rsidR="00DE0919" w:rsidRPr="00DE091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)</w:t>
      </w:r>
      <w:r w:rsidR="00546285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, 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відповідно до положень </w:t>
      </w:r>
      <w:hyperlink r:id="rId4" w:anchor="n18" w:history="1">
        <w:r w:rsidRPr="002D2123">
          <w:rPr>
            <w:rFonts w:ascii="ProbaPro" w:eastAsia="Times New Roman" w:hAnsi="ProbaPro" w:cs="Times New Roman"/>
            <w:color w:val="000000" w:themeColor="text1"/>
            <w:sz w:val="27"/>
            <w:szCs w:val="27"/>
            <w:bdr w:val="none" w:sz="0" w:space="0" w:color="auto" w:frame="1"/>
            <w:lang w:eastAsia="uk-UA"/>
          </w:rPr>
          <w:t>Методології управління корупційними ризиками</w:t>
        </w:r>
      </w:hyperlink>
      <w:r w:rsidRPr="002D2123">
        <w:rPr>
          <w:rFonts w:ascii="ProbaPro" w:eastAsia="Times New Roman" w:hAnsi="ProbaPro" w:cs="Times New Roman"/>
          <w:color w:val="000000" w:themeColor="text1"/>
          <w:sz w:val="27"/>
          <w:szCs w:val="27"/>
          <w:lang w:eastAsia="uk-UA"/>
        </w:rPr>
        <w:t xml:space="preserve">, 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затвердженої наказом Національного агентства з питань запобі</w:t>
      </w:r>
      <w:r w:rsidR="00AE5E66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гання корупції від 28.12.2021 №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830/21, зареєстрованим у Міністерстві </w:t>
      </w:r>
      <w:r w:rsidR="00AE5E66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юстиції України 17.02.2022 за №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219/37555 (далі – Методологія), підготовлено проєкт Антикорупційної програми Державної </w:t>
      </w:r>
      <w:r w:rsidR="001E157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служби фінансового </w:t>
      </w:r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моніторингу </w:t>
      </w:r>
      <w:r w:rsidR="001E157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України на 202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6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–202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7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роки та додатків до неї (далі – Проєкт).</w:t>
      </w:r>
    </w:p>
    <w:p w:rsidR="00552632" w:rsidRDefault="002D2123" w:rsidP="00552632">
      <w:pPr>
        <w:spacing w:after="0" w:line="405" w:lineRule="atLeast"/>
        <w:ind w:firstLine="851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Згідно з вимогами пункту 2 розділу V Методології</w:t>
      </w:r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,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Робочою групою прийнято рішення про проведення публічного громадського обговорення </w:t>
      </w:r>
      <w:proofErr w:type="spellStart"/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Проєкту</w:t>
      </w:r>
      <w:proofErr w:type="spellEnd"/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. З метою забезпечення прозорості та відкритості процесу підготовки Антикорупційної програми Державної служби </w:t>
      </w:r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фінансового моніторингу 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України на 202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6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–202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7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роки, </w:t>
      </w:r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Д</w:t>
      </w:r>
      <w:r w:rsidR="00546285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ержфінмоніторингу 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пропонує взяти участь у публічному громадському обговоренні </w:t>
      </w:r>
      <w:proofErr w:type="spellStart"/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Проєкту</w:t>
      </w:r>
      <w:proofErr w:type="spellEnd"/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представникам громадських організацій, закладів освіти та наукових установ, громадським експертам та іншим зацікавленим особам.</w:t>
      </w:r>
    </w:p>
    <w:p w:rsidR="002D2123" w:rsidRPr="002D2123" w:rsidRDefault="002D2123" w:rsidP="00552632">
      <w:pPr>
        <w:spacing w:after="0" w:line="405" w:lineRule="atLeast"/>
        <w:ind w:firstLine="851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Свої зауваж</w:t>
      </w:r>
      <w:r w:rsidR="00311B0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ення та пропозиції з питань щодо Проекту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, а також заявки щодо участі у засіданні з громадського обговорен</w:t>
      </w:r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ня </w:t>
      </w:r>
      <w:proofErr w:type="spellStart"/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Проєкту</w:t>
      </w:r>
      <w:proofErr w:type="spellEnd"/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, просимо надати до 1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0</w:t>
      </w:r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:00</w:t>
      </w:r>
      <w:r w:rsid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год </w:t>
      </w:r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2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6 березня</w:t>
      </w:r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202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6</w:t>
      </w:r>
      <w:r w:rsidR="00BE6D9C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BE6D9C" w:rsidRP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року 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на електронну поштову скриньку (</w:t>
      </w:r>
      <w:hyperlink r:id="rId5" w:history="1">
        <w:r w:rsidR="004D76C8" w:rsidRPr="003568D2">
          <w:rPr>
            <w:rStyle w:val="a3"/>
            <w:rFonts w:ascii="ProbaPro" w:eastAsia="Times New Roman" w:hAnsi="ProbaPro" w:cs="Times New Roman"/>
            <w:sz w:val="27"/>
            <w:szCs w:val="27"/>
            <w:lang w:val="en-US" w:eastAsia="uk-UA"/>
          </w:rPr>
          <w:t>babkin</w:t>
        </w:r>
        <w:r w:rsidR="004D76C8" w:rsidRPr="003568D2">
          <w:rPr>
            <w:rStyle w:val="a3"/>
            <w:rFonts w:ascii="ProbaPro" w:eastAsia="Times New Roman" w:hAnsi="ProbaPro" w:cs="Times New Roman"/>
            <w:sz w:val="27"/>
            <w:szCs w:val="27"/>
            <w:lang w:eastAsia="uk-UA"/>
          </w:rPr>
          <w:t>@fiu.gov.ua</w:t>
        </w:r>
      </w:hyperlink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)</w:t>
      </w:r>
      <w:r w:rsid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546285"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або</w:t>
      </w:r>
      <w:r w:rsidR="00546285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за номером телефону: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597-16-97 </w:t>
      </w:r>
      <w:r w:rsidR="00546285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чи </w:t>
      </w:r>
      <w:r w:rsidR="00AE5E66" w:rsidRP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за </w:t>
      </w:r>
      <w:proofErr w:type="spellStart"/>
      <w:r w:rsidR="00AE5E66" w:rsidRP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: </w:t>
      </w:r>
      <w:r w:rsidR="008216E3" w:rsidRP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04050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, </w:t>
      </w:r>
      <w:r w:rsidR="004D76C8">
        <w:rPr>
          <w:rFonts w:ascii="ProbaPro" w:eastAsia="Times New Roman" w:hAnsi="ProbaPro" w:cs="Times New Roman"/>
          <w:color w:val="000000"/>
          <w:sz w:val="27"/>
          <w:szCs w:val="27"/>
          <w:lang w:val="ru-RU" w:eastAsia="uk-UA"/>
        </w:rPr>
        <w:t xml:space="preserve">                 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м. Київ, вул. </w:t>
      </w:r>
      <w:r w:rsidR="008216E3" w:rsidRP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Білоруська, 24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, Державна </w:t>
      </w:r>
      <w:r w:rsidR="008216E3" w:rsidRP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служба фінансового моніторингу України</w:t>
      </w:r>
      <w:r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.</w:t>
      </w:r>
    </w:p>
    <w:p w:rsidR="002D2123" w:rsidRPr="002D2123" w:rsidRDefault="00BE6D9C" w:rsidP="008216E3">
      <w:pPr>
        <w:spacing w:after="225" w:line="405" w:lineRule="atLeast"/>
        <w:ind w:firstLine="851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Засідання Робочої групи щодо </w:t>
      </w:r>
      <w:r w:rsidR="002D2123" w:rsidRPr="002D212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громадського об</w:t>
      </w:r>
      <w:r w:rsidRP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говорення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Проєкту</w:t>
      </w:r>
      <w:proofErr w:type="spellEnd"/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відбудеться </w:t>
      </w:r>
      <w:r w:rsid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о 1</w:t>
      </w:r>
      <w:r w:rsidR="004D76C8" w:rsidRP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2</w:t>
      </w:r>
      <w:r w:rsid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:00 год за </w:t>
      </w:r>
      <w:r w:rsidR="004D76C8" w:rsidRPr="004D76C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27</w:t>
      </w:r>
      <w:r w:rsid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4D76C8" w:rsidRPr="00DE091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березня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202</w:t>
      </w:r>
      <w:r w:rsidR="004D76C8" w:rsidRPr="00DE091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6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bookmarkStart w:id="0" w:name="_GoBack"/>
      <w:bookmarkEnd w:id="0"/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року</w:t>
      </w:r>
      <w:r w:rsid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у приміщенні Держфінмоніторингу за </w:t>
      </w:r>
      <w:proofErr w:type="spellStart"/>
      <w:r w:rsid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: </w:t>
      </w:r>
      <w:r w:rsidR="008216E3" w:rsidRPr="008216E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04050, м. Київ, вул. Білоруська, 24, Державна служба фінансового моніторингу України.</w:t>
      </w:r>
    </w:p>
    <w:p w:rsidR="00D37EDD" w:rsidRPr="004D76C8" w:rsidRDefault="00D37EDD"/>
    <w:sectPr w:rsidR="00D37EDD" w:rsidRPr="004D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SemiBold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46"/>
    <w:rsid w:val="001E1578"/>
    <w:rsid w:val="002D2123"/>
    <w:rsid w:val="00311B09"/>
    <w:rsid w:val="004D76C8"/>
    <w:rsid w:val="00546285"/>
    <w:rsid w:val="00552632"/>
    <w:rsid w:val="008216E3"/>
    <w:rsid w:val="009557E1"/>
    <w:rsid w:val="00AE5E66"/>
    <w:rsid w:val="00BE3F7F"/>
    <w:rsid w:val="00BE6D9C"/>
    <w:rsid w:val="00C27346"/>
    <w:rsid w:val="00D37EDD"/>
    <w:rsid w:val="00D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BD1B"/>
  <w15:chartTrackingRefBased/>
  <w15:docId w15:val="{C8F78F28-63EF-45A3-B6C6-95DA3B53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132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kin@fiu.gov.ua" TargetMode="External"/><Relationship Id="rId4" Type="http://schemas.openxmlformats.org/officeDocument/2006/relationships/hyperlink" Target="https://zakon.rada.gov.ua/laws/show/z0219-2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Михальчук Дарія Сергіївна</dc:creator>
  <cp:keywords/>
  <dc:description/>
  <cp:lastModifiedBy>Бабкін Олексій Аркадійович</cp:lastModifiedBy>
  <cp:revision>5</cp:revision>
  <dcterms:created xsi:type="dcterms:W3CDTF">2024-04-25T06:00:00Z</dcterms:created>
  <dcterms:modified xsi:type="dcterms:W3CDTF">2026-03-12T08:03:00Z</dcterms:modified>
</cp:coreProperties>
</file>